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A5" w:rsidRPr="007A4A8C" w:rsidRDefault="00EC03A5" w:rsidP="007A4A8C">
      <w:pPr>
        <w:spacing w:after="0"/>
        <w:rPr>
          <w:b/>
        </w:rPr>
      </w:pPr>
      <w:bookmarkStart w:id="0" w:name="_GoBack"/>
      <w:bookmarkEnd w:id="0"/>
    </w:p>
    <w:p w:rsidR="00271F07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  <w:r w:rsidR="00993B0D">
        <w:t xml:space="preserve"> </w:t>
      </w:r>
    </w:p>
    <w:p w:rsidR="000E57A7" w:rsidRDefault="000E57A7" w:rsidP="000E57A7">
      <w:pPr>
        <w:pStyle w:val="ListParagraph"/>
        <w:spacing w:after="0"/>
      </w:pPr>
    </w:p>
    <w:p w:rsidR="000B01A4" w:rsidRPr="000E57A7" w:rsidRDefault="006E6165" w:rsidP="00271F07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 xml:space="preserve">Labs </w:t>
      </w:r>
      <w:r w:rsidR="000E57A7">
        <w:rPr>
          <w:i/>
          <w:color w:val="0070C0"/>
        </w:rPr>
        <w:t>Working Group</w:t>
      </w:r>
    </w:p>
    <w:p w:rsidR="000B01A4" w:rsidRPr="003110FB" w:rsidRDefault="000B01A4" w:rsidP="000B01A4">
      <w:pPr>
        <w:pStyle w:val="ListParagraph"/>
        <w:spacing w:after="0"/>
      </w:pPr>
    </w:p>
    <w:p w:rsidR="000E57A7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:rsidR="000E57A7" w:rsidRDefault="000E57A7" w:rsidP="000E57A7">
      <w:pPr>
        <w:pStyle w:val="ListParagraph"/>
        <w:spacing w:after="0"/>
      </w:pPr>
    </w:p>
    <w:p w:rsidR="00C05D14" w:rsidRDefault="00C05D14" w:rsidP="000E57A7">
      <w:pPr>
        <w:spacing w:after="0"/>
        <w:ind w:left="720"/>
        <w:rPr>
          <w:i/>
          <w:color w:val="0070C0"/>
        </w:rPr>
      </w:pPr>
      <w:r>
        <w:rPr>
          <w:i/>
          <w:color w:val="0070C0"/>
        </w:rPr>
        <w:t>Darryl Johnson- Ace Analytical</w:t>
      </w:r>
    </w:p>
    <w:p w:rsidR="00FF2238" w:rsidRDefault="00FF2238" w:rsidP="00FF2238">
      <w:pPr>
        <w:spacing w:after="0"/>
        <w:ind w:left="720"/>
        <w:rPr>
          <w:i/>
          <w:color w:val="0070C0"/>
        </w:rPr>
      </w:pPr>
      <w:r>
        <w:rPr>
          <w:i/>
          <w:color w:val="0070C0"/>
        </w:rPr>
        <w:t>Shane Johnson- Silver State Trading</w:t>
      </w:r>
    </w:p>
    <w:p w:rsidR="00E8582F" w:rsidRDefault="00E8582F" w:rsidP="000E57A7">
      <w:pPr>
        <w:spacing w:after="0"/>
        <w:ind w:left="720"/>
        <w:rPr>
          <w:i/>
          <w:color w:val="0070C0"/>
        </w:rPr>
      </w:pPr>
      <w:r>
        <w:rPr>
          <w:i/>
          <w:color w:val="0070C0"/>
        </w:rPr>
        <w:t>Alec Garcia- 374 Labs</w:t>
      </w:r>
    </w:p>
    <w:p w:rsidR="00C05D14" w:rsidRDefault="00C05D14" w:rsidP="000E57A7">
      <w:pPr>
        <w:spacing w:after="0"/>
        <w:ind w:left="720"/>
        <w:rPr>
          <w:i/>
          <w:color w:val="0070C0"/>
        </w:rPr>
      </w:pPr>
      <w:r>
        <w:rPr>
          <w:i/>
          <w:color w:val="0070C0"/>
        </w:rPr>
        <w:t>David Grenz- Nevada Department of Agriculture</w:t>
      </w:r>
    </w:p>
    <w:p w:rsidR="00E8582F" w:rsidRDefault="00E8582F" w:rsidP="00E8582F">
      <w:pPr>
        <w:spacing w:after="0"/>
        <w:ind w:left="720"/>
        <w:rPr>
          <w:i/>
          <w:color w:val="0070C0"/>
        </w:rPr>
      </w:pPr>
      <w:r>
        <w:rPr>
          <w:i/>
          <w:color w:val="0070C0"/>
        </w:rPr>
        <w:t>Ed Alexander- Common Sense Botanicals</w:t>
      </w:r>
    </w:p>
    <w:p w:rsidR="000B01A4" w:rsidRPr="003110FB" w:rsidRDefault="000B01A4" w:rsidP="000B01A4">
      <w:pPr>
        <w:spacing w:after="0"/>
      </w:pPr>
    </w:p>
    <w:p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:rsidR="000E57A7" w:rsidRDefault="000E57A7" w:rsidP="000E57A7">
      <w:pPr>
        <w:pStyle w:val="ListParagraph"/>
        <w:spacing w:after="0"/>
      </w:pPr>
    </w:p>
    <w:p w:rsidR="00CE739D" w:rsidRPr="000C6361" w:rsidRDefault="00C417FF" w:rsidP="00A34142">
      <w:pPr>
        <w:pStyle w:val="ListParagraph"/>
        <w:numPr>
          <w:ilvl w:val="0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Edible product approval and homogeneity testing within a production run</w:t>
      </w:r>
    </w:p>
    <w:p w:rsidR="00C417FF" w:rsidRPr="000C6361" w:rsidRDefault="00C417FF" w:rsidP="00A34142">
      <w:pPr>
        <w:pStyle w:val="ListParagraph"/>
        <w:jc w:val="both"/>
        <w:rPr>
          <w:i/>
          <w:color w:val="0070C0"/>
        </w:rPr>
      </w:pPr>
      <w:r w:rsidRPr="000C6361">
        <w:rPr>
          <w:i/>
          <w:color w:val="0070C0"/>
        </w:rPr>
        <w:t xml:space="preserve">-Homogeneity testing within a single unit: conducted during state-mandated safety and potency testing </w:t>
      </w:r>
    </w:p>
    <w:p w:rsidR="00C417FF" w:rsidRPr="000C6361" w:rsidRDefault="00C417FF" w:rsidP="00A34142">
      <w:pPr>
        <w:pStyle w:val="ListParagraph"/>
        <w:jc w:val="both"/>
        <w:rPr>
          <w:i/>
          <w:color w:val="0070C0"/>
        </w:rPr>
      </w:pPr>
      <w:r w:rsidRPr="000C6361">
        <w:rPr>
          <w:i/>
          <w:color w:val="0070C0"/>
        </w:rPr>
        <w:t>-Homogeneity testing within a production run: conducted during process validation and periodically verified</w:t>
      </w:r>
    </w:p>
    <w:p w:rsidR="00CE739D" w:rsidRPr="000C6361" w:rsidRDefault="00CE739D" w:rsidP="00A34142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Currently approv</w:t>
      </w:r>
      <w:r w:rsidR="00E8582F" w:rsidRPr="000C6361">
        <w:rPr>
          <w:i/>
          <w:color w:val="0070C0"/>
        </w:rPr>
        <w:t>ed by DPBH: Dept of Ag approval?</w:t>
      </w:r>
    </w:p>
    <w:p w:rsidR="00CE739D" w:rsidRPr="000C6361" w:rsidRDefault="00CE739D" w:rsidP="00A34142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Production Kitchen: SOP for edible manufacturing process: each different product</w:t>
      </w:r>
    </w:p>
    <w:p w:rsidR="00CE739D" w:rsidRPr="000C6361" w:rsidRDefault="00CE739D" w:rsidP="00A34142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Demonstrate process produces homogeneous product</w:t>
      </w:r>
      <w:r w:rsidR="00C417FF" w:rsidRPr="000C6361">
        <w:rPr>
          <w:i/>
          <w:color w:val="0070C0"/>
        </w:rPr>
        <w:t xml:space="preserve"> (homogeneity testing within a production run)</w:t>
      </w:r>
      <w:r w:rsidRPr="000C6361">
        <w:rPr>
          <w:i/>
          <w:color w:val="0070C0"/>
        </w:rPr>
        <w:t>: allow specific requirements</w:t>
      </w:r>
      <w:r w:rsidR="00E8582F" w:rsidRPr="000C6361">
        <w:rPr>
          <w:i/>
          <w:color w:val="0070C0"/>
        </w:rPr>
        <w:t xml:space="preserve"> to be defined at a later time</w:t>
      </w:r>
    </w:p>
    <w:p w:rsidR="00CE739D" w:rsidRPr="000C6361" w:rsidRDefault="00CE739D" w:rsidP="00A34142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Periodic validation checks</w:t>
      </w:r>
      <w:r w:rsidR="0005477A" w:rsidRPr="000C6361">
        <w:rPr>
          <w:i/>
          <w:color w:val="0070C0"/>
        </w:rPr>
        <w:t xml:space="preserve"> (maybe once </w:t>
      </w:r>
      <w:r w:rsidR="000C6361">
        <w:rPr>
          <w:i/>
          <w:color w:val="0070C0"/>
        </w:rPr>
        <w:t xml:space="preserve">or twice </w:t>
      </w:r>
      <w:r w:rsidR="0005477A" w:rsidRPr="000C6361">
        <w:rPr>
          <w:i/>
          <w:color w:val="0070C0"/>
        </w:rPr>
        <w:t>a year?)</w:t>
      </w:r>
    </w:p>
    <w:p w:rsidR="00C417FF" w:rsidRPr="000C6361" w:rsidRDefault="00C417FF" w:rsidP="00A34142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Changes in recipe, production run size, equipment, etc. would require a revalidation of the process and production run homogeneity testing</w:t>
      </w:r>
    </w:p>
    <w:p w:rsidR="00CE739D" w:rsidRPr="000C6361" w:rsidRDefault="00CE739D" w:rsidP="00A34142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Considerations:</w:t>
      </w:r>
    </w:p>
    <w:p w:rsidR="00CE739D" w:rsidRPr="000C6361" w:rsidRDefault="00CE739D" w:rsidP="00A34142">
      <w:pPr>
        <w:pStyle w:val="ListParagraph"/>
        <w:numPr>
          <w:ilvl w:val="2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Production run size will differ</w:t>
      </w:r>
    </w:p>
    <w:p w:rsidR="00CE739D" w:rsidRPr="000C6361" w:rsidRDefault="00CE739D" w:rsidP="00A34142">
      <w:pPr>
        <w:pStyle w:val="ListParagraph"/>
        <w:numPr>
          <w:ilvl w:val="2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Edible matrix will impact homogeneity</w:t>
      </w:r>
    </w:p>
    <w:p w:rsidR="00CE739D" w:rsidRPr="000C6361" w:rsidRDefault="00CE739D" w:rsidP="00A34142">
      <w:pPr>
        <w:pStyle w:val="ListParagraph"/>
        <w:numPr>
          <w:ilvl w:val="0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Define potency labeling: THCA vs. d9-THC</w:t>
      </w:r>
    </w:p>
    <w:p w:rsidR="00CE739D" w:rsidRPr="000C6361" w:rsidRDefault="00CE739D" w:rsidP="00A34142">
      <w:pPr>
        <w:pStyle w:val="ListParagraph"/>
        <w:numPr>
          <w:ilvl w:val="2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Insufficient decarboxylation results in THCA presence</w:t>
      </w:r>
    </w:p>
    <w:p w:rsidR="00CE739D" w:rsidRPr="000C6361" w:rsidRDefault="00CE739D" w:rsidP="00A34142">
      <w:pPr>
        <w:pStyle w:val="ListParagraph"/>
        <w:numPr>
          <w:ilvl w:val="2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THCA non-psychoactive</w:t>
      </w:r>
    </w:p>
    <w:p w:rsidR="00CE739D" w:rsidRPr="000C6361" w:rsidRDefault="00CE739D" w:rsidP="00A34142">
      <w:pPr>
        <w:pStyle w:val="ListParagraph"/>
        <w:numPr>
          <w:ilvl w:val="2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THCA may have medicinal properties</w:t>
      </w:r>
    </w:p>
    <w:p w:rsidR="00CE739D" w:rsidRPr="000C6361" w:rsidRDefault="00CE739D" w:rsidP="00A34142">
      <w:pPr>
        <w:pStyle w:val="ListParagraph"/>
        <w:numPr>
          <w:ilvl w:val="2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Edibles with high potency from THCA would be mislabeled in adult-use market</w:t>
      </w:r>
    </w:p>
    <w:p w:rsidR="00CE739D" w:rsidRPr="000C6361" w:rsidRDefault="00C417FF" w:rsidP="00A34142">
      <w:pPr>
        <w:pStyle w:val="ListParagraph"/>
        <w:numPr>
          <w:ilvl w:val="0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Homogeneity testing within a single unit</w:t>
      </w:r>
    </w:p>
    <w:p w:rsidR="00CE739D" w:rsidRPr="000C6361" w:rsidRDefault="00CE739D" w:rsidP="00A34142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1 unit will be collected from each lot for testing</w:t>
      </w:r>
    </w:p>
    <w:p w:rsidR="00CE739D" w:rsidRPr="000C6361" w:rsidRDefault="00CE739D" w:rsidP="00A34142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Duplicate analysis of separate portions of the edible</w:t>
      </w:r>
    </w:p>
    <w:p w:rsidR="00CE739D" w:rsidRPr="000C6361" w:rsidRDefault="00CE739D" w:rsidP="00A34142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 xml:space="preserve">Variation is the difference between </w:t>
      </w:r>
      <w:r w:rsidR="00C417FF" w:rsidRPr="000C6361">
        <w:rPr>
          <w:i/>
          <w:color w:val="0070C0"/>
        </w:rPr>
        <w:t xml:space="preserve">ITL </w:t>
      </w:r>
      <w:r w:rsidRPr="000C6361">
        <w:rPr>
          <w:i/>
          <w:color w:val="0070C0"/>
        </w:rPr>
        <w:t xml:space="preserve">measured concentration and </w:t>
      </w:r>
      <w:r w:rsidR="00C417FF" w:rsidRPr="000C6361">
        <w:rPr>
          <w:i/>
          <w:color w:val="0070C0"/>
        </w:rPr>
        <w:t xml:space="preserve">producer’s </w:t>
      </w:r>
      <w:r w:rsidRPr="000C6361">
        <w:rPr>
          <w:i/>
          <w:color w:val="0070C0"/>
        </w:rPr>
        <w:t>expected concentration</w:t>
      </w:r>
    </w:p>
    <w:p w:rsidR="00CE739D" w:rsidRPr="000C6361" w:rsidRDefault="00CE739D" w:rsidP="00A34142">
      <w:pPr>
        <w:pStyle w:val="ListParagraph"/>
        <w:numPr>
          <w:ilvl w:val="1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Both replicates must be within acceptable range for intended package size: Average is reported for dosage</w:t>
      </w:r>
    </w:p>
    <w:p w:rsidR="00CE739D" w:rsidRPr="000C6361" w:rsidRDefault="00C417FF" w:rsidP="00A34142">
      <w:pPr>
        <w:pStyle w:val="ListParagraph"/>
        <w:numPr>
          <w:ilvl w:val="2"/>
          <w:numId w:val="5"/>
        </w:numPr>
        <w:jc w:val="both"/>
        <w:rPr>
          <w:i/>
          <w:color w:val="0070C0"/>
        </w:rPr>
      </w:pPr>
      <w:r w:rsidRPr="000C6361">
        <w:rPr>
          <w:i/>
          <w:color w:val="0070C0"/>
        </w:rPr>
        <w:t>Allow for 15% variation between the ITL results and the intended dosage</w:t>
      </w:r>
    </w:p>
    <w:p w:rsidR="00C22826" w:rsidRPr="000C6361" w:rsidRDefault="00C22826" w:rsidP="00C22826">
      <w:pPr>
        <w:pStyle w:val="ListParagraph"/>
        <w:ind w:left="2160"/>
        <w:rPr>
          <w:i/>
          <w:color w:val="0070C0"/>
        </w:rPr>
      </w:pPr>
    </w:p>
    <w:p w:rsidR="00CE739D" w:rsidRPr="000C6361" w:rsidRDefault="00CE739D" w:rsidP="00A34142">
      <w:pPr>
        <w:jc w:val="both"/>
        <w:rPr>
          <w:i/>
          <w:color w:val="0070C0"/>
        </w:rPr>
      </w:pPr>
      <w:r w:rsidRPr="000C6361">
        <w:rPr>
          <w:i/>
          <w:color w:val="0070C0"/>
        </w:rPr>
        <w:lastRenderedPageBreak/>
        <w:t>To give you an idea of the allowable ranges for a few edible concentrations: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739D" w:rsidRPr="000C6361" w:rsidTr="0073102F"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d9-THC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20% Variation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15% Variation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10% Variation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5% Variation</w:t>
            </w:r>
          </w:p>
        </w:tc>
      </w:tr>
      <w:tr w:rsidR="00CE739D" w:rsidRPr="000C6361" w:rsidTr="0073102F"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50 mg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40 - 60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42.5 - 57.5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45 - 55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47.5 - 52.5</w:t>
            </w:r>
          </w:p>
        </w:tc>
      </w:tr>
      <w:tr w:rsidR="00CE739D" w:rsidRPr="000C6361" w:rsidTr="0073102F"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100 mg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80 - 120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85 - 115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90 - 110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95 - 105</w:t>
            </w:r>
          </w:p>
        </w:tc>
      </w:tr>
      <w:tr w:rsidR="00CE739D" w:rsidRPr="000C6361" w:rsidTr="0073102F"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200 mg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160 - 240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170 - 230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180 - 220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190 - 210</w:t>
            </w:r>
          </w:p>
        </w:tc>
      </w:tr>
      <w:tr w:rsidR="00CE739D" w:rsidRPr="000C6361" w:rsidTr="0073102F"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300 mg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240 - 360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255 - 345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270 - 330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285 - 315</w:t>
            </w:r>
          </w:p>
        </w:tc>
      </w:tr>
      <w:tr w:rsidR="00CE739D" w:rsidRPr="000C6361" w:rsidTr="0073102F"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400 mg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320 - 480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340 - 460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360 - 440</w:t>
            </w:r>
          </w:p>
        </w:tc>
        <w:tc>
          <w:tcPr>
            <w:tcW w:w="1870" w:type="dxa"/>
            <w:vAlign w:val="center"/>
          </w:tcPr>
          <w:p w:rsidR="00CE739D" w:rsidRPr="000C6361" w:rsidRDefault="00CE739D" w:rsidP="0073102F">
            <w:pPr>
              <w:jc w:val="center"/>
              <w:rPr>
                <w:i/>
                <w:color w:val="0070C0"/>
              </w:rPr>
            </w:pPr>
            <w:r w:rsidRPr="000C6361">
              <w:rPr>
                <w:i/>
                <w:color w:val="0070C0"/>
              </w:rPr>
              <w:t>380 - 420</w:t>
            </w:r>
          </w:p>
        </w:tc>
      </w:tr>
    </w:tbl>
    <w:p w:rsidR="00C72231" w:rsidRPr="00AF4951" w:rsidRDefault="00C72231" w:rsidP="00AF4951">
      <w:pPr>
        <w:pStyle w:val="ListParagraph"/>
        <w:spacing w:after="0"/>
        <w:jc w:val="both"/>
        <w:rPr>
          <w:i/>
          <w:color w:val="0070C0"/>
        </w:rPr>
      </w:pPr>
    </w:p>
    <w:p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:rsidR="000E57A7" w:rsidRPr="003110FB" w:rsidRDefault="000E57A7" w:rsidP="000E57A7">
      <w:pPr>
        <w:pStyle w:val="ListParagraph"/>
        <w:spacing w:after="0"/>
      </w:pPr>
    </w:p>
    <w:p w:rsidR="009D1348" w:rsidRDefault="009D1348" w:rsidP="00A34142">
      <w:pPr>
        <w:pStyle w:val="ListParagraph"/>
        <w:spacing w:after="0"/>
        <w:jc w:val="both"/>
        <w:rPr>
          <w:i/>
          <w:color w:val="0070C0"/>
        </w:rPr>
      </w:pPr>
      <w:r w:rsidRPr="000E57A7">
        <w:rPr>
          <w:i/>
          <w:color w:val="0070C0"/>
        </w:rPr>
        <w:t xml:space="preserve">Guiding Principle </w:t>
      </w:r>
      <w:r>
        <w:rPr>
          <w:i/>
          <w:color w:val="0070C0"/>
        </w:rPr>
        <w:t>1 – Promote the health, safety, and well-being of Nevada’s communities</w:t>
      </w:r>
    </w:p>
    <w:p w:rsidR="009D1348" w:rsidRDefault="009D1348" w:rsidP="00A34142">
      <w:pPr>
        <w:pStyle w:val="ListParagraph"/>
        <w:spacing w:after="0"/>
        <w:jc w:val="both"/>
        <w:rPr>
          <w:i/>
          <w:color w:val="0070C0"/>
        </w:rPr>
      </w:pPr>
    </w:p>
    <w:p w:rsidR="00BD7523" w:rsidRDefault="000E57A7" w:rsidP="00A34142">
      <w:pPr>
        <w:pStyle w:val="ListParagraph"/>
        <w:spacing w:after="0"/>
        <w:jc w:val="both"/>
        <w:rPr>
          <w:i/>
          <w:color w:val="0070C0"/>
        </w:rPr>
      </w:pPr>
      <w:r w:rsidRPr="000E57A7">
        <w:rPr>
          <w:i/>
          <w:color w:val="0070C0"/>
        </w:rPr>
        <w:t xml:space="preserve">Guiding Principle </w:t>
      </w:r>
      <w:r w:rsidR="00BD7523" w:rsidRPr="000E57A7">
        <w:rPr>
          <w:i/>
          <w:color w:val="0070C0"/>
        </w:rPr>
        <w:t>2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-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Be responsive to the needs and issues of consumers, non-consumers, local governments and the industry</w:t>
      </w:r>
    </w:p>
    <w:p w:rsidR="000E57A7" w:rsidRPr="000E57A7" w:rsidRDefault="000E57A7" w:rsidP="00A34142">
      <w:pPr>
        <w:pStyle w:val="ListParagraph"/>
        <w:spacing w:after="0"/>
        <w:jc w:val="both"/>
        <w:rPr>
          <w:i/>
          <w:color w:val="0070C0"/>
        </w:rPr>
      </w:pPr>
    </w:p>
    <w:p w:rsidR="00BD7523" w:rsidRDefault="000E57A7" w:rsidP="00A34142">
      <w:pPr>
        <w:pStyle w:val="ListParagraph"/>
        <w:spacing w:after="0"/>
        <w:jc w:val="both"/>
        <w:rPr>
          <w:i/>
          <w:color w:val="0070C0"/>
        </w:rPr>
      </w:pPr>
      <w:r w:rsidRPr="000E57A7">
        <w:rPr>
          <w:i/>
          <w:color w:val="0070C0"/>
        </w:rPr>
        <w:t xml:space="preserve">Guiding Principle </w:t>
      </w:r>
      <w:r w:rsidR="00BD7523" w:rsidRPr="000E57A7">
        <w:rPr>
          <w:i/>
          <w:color w:val="0070C0"/>
        </w:rPr>
        <w:t>6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-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Establish regulations that are clear and practical, so that interactions between law enforcement, consumers, and licensees are predictable and understandable</w:t>
      </w:r>
    </w:p>
    <w:p w:rsidR="000E57A7" w:rsidRPr="000E57A7" w:rsidRDefault="000E57A7" w:rsidP="00A34142">
      <w:pPr>
        <w:pStyle w:val="ListParagraph"/>
        <w:spacing w:after="0"/>
        <w:jc w:val="both"/>
        <w:rPr>
          <w:i/>
          <w:color w:val="0070C0"/>
        </w:rPr>
      </w:pPr>
    </w:p>
    <w:p w:rsidR="00BD7523" w:rsidRPr="000E57A7" w:rsidRDefault="000E57A7" w:rsidP="00A34142">
      <w:pPr>
        <w:pStyle w:val="ListParagraph"/>
        <w:spacing w:after="0"/>
        <w:jc w:val="both"/>
        <w:rPr>
          <w:i/>
          <w:color w:val="0070C0"/>
        </w:rPr>
      </w:pPr>
      <w:r w:rsidRPr="000E57A7">
        <w:rPr>
          <w:i/>
          <w:color w:val="0070C0"/>
        </w:rPr>
        <w:t xml:space="preserve">Guiding Principle </w:t>
      </w:r>
      <w:r w:rsidR="00BD7523" w:rsidRPr="000E57A7">
        <w:rPr>
          <w:i/>
          <w:color w:val="0070C0"/>
        </w:rPr>
        <w:t>7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-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Take action that is faithful to the text of Question 2</w:t>
      </w:r>
    </w:p>
    <w:p w:rsidR="00E9081E" w:rsidRPr="003110FB" w:rsidRDefault="00E9081E" w:rsidP="00E9081E">
      <w:pPr>
        <w:spacing w:after="0"/>
      </w:pPr>
    </w:p>
    <w:p w:rsidR="00D348C7" w:rsidRPr="00962953" w:rsidRDefault="00E9081E" w:rsidP="00962953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</w:t>
      </w:r>
    </w:p>
    <w:p w:rsidR="00335DB5" w:rsidRDefault="00335DB5" w:rsidP="00D348C7">
      <w:pPr>
        <w:pStyle w:val="ListParagraph"/>
        <w:spacing w:after="0"/>
        <w:jc w:val="both"/>
        <w:rPr>
          <w:i/>
          <w:color w:val="0070C0"/>
        </w:rPr>
      </w:pPr>
    </w:p>
    <w:p w:rsidR="000C6361" w:rsidRPr="0072144E" w:rsidRDefault="000C6361" w:rsidP="00A34142">
      <w:pPr>
        <w:spacing w:after="0"/>
        <w:ind w:left="720"/>
        <w:jc w:val="both"/>
        <w:rPr>
          <w:i/>
          <w:color w:val="0070C0"/>
        </w:rPr>
      </w:pPr>
      <w:r w:rsidRPr="0072144E">
        <w:rPr>
          <w:i/>
          <w:color w:val="0070C0"/>
        </w:rPr>
        <w:t>Sec 2 (c) – Cultivating, manufacturing, testing, transporting, and selling marijuana will be strictly controlled through state licensing and regulations</w:t>
      </w:r>
    </w:p>
    <w:p w:rsidR="000C6361" w:rsidRDefault="000C6361" w:rsidP="00A34142">
      <w:pPr>
        <w:pStyle w:val="ListParagraph"/>
        <w:spacing w:after="0"/>
        <w:jc w:val="both"/>
        <w:rPr>
          <w:i/>
          <w:color w:val="0070C0"/>
        </w:rPr>
      </w:pPr>
    </w:p>
    <w:p w:rsidR="00335DB5" w:rsidRDefault="00335DB5" w:rsidP="00A34142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Section 2, subsection (g): Marijuana sold in the state will be tested and labeled</w:t>
      </w:r>
    </w:p>
    <w:p w:rsidR="00335DB5" w:rsidRDefault="00335DB5" w:rsidP="00A34142">
      <w:pPr>
        <w:pStyle w:val="ListParagraph"/>
        <w:spacing w:after="0"/>
        <w:jc w:val="both"/>
        <w:rPr>
          <w:i/>
          <w:color w:val="0070C0"/>
        </w:rPr>
      </w:pPr>
    </w:p>
    <w:p w:rsidR="00335DB5" w:rsidRDefault="00335DB5" w:rsidP="00A34142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Section 3, subsection 15: “Marijuana testing facility” means an entity licensed to test marijuana and marijuana products, including for potency and contaminants</w:t>
      </w:r>
    </w:p>
    <w:p w:rsidR="000C6361" w:rsidRDefault="000C6361" w:rsidP="00A34142">
      <w:pPr>
        <w:pStyle w:val="ListParagraph"/>
        <w:spacing w:after="0"/>
        <w:jc w:val="both"/>
        <w:rPr>
          <w:i/>
          <w:color w:val="0070C0"/>
        </w:rPr>
      </w:pPr>
    </w:p>
    <w:p w:rsidR="000C6361" w:rsidRPr="00C57F67" w:rsidRDefault="000C6361" w:rsidP="00A34142">
      <w:pPr>
        <w:pStyle w:val="ListParagraph"/>
        <w:spacing w:after="0"/>
        <w:jc w:val="both"/>
        <w:rPr>
          <w:i/>
          <w:color w:val="0070C0"/>
        </w:rPr>
      </w:pPr>
      <w:r w:rsidRPr="00C163B7">
        <w:rPr>
          <w:i/>
          <w:color w:val="0070C0"/>
        </w:rPr>
        <w:t>Sec 5 (f) – Requirements for the testing and labeling of marijuana and marijuana products sold by marijuana establishments including a numerical indication of potency based on the ration of THC to the weight of a product intended for oral consumption</w:t>
      </w:r>
    </w:p>
    <w:p w:rsidR="00E9081E" w:rsidRPr="003110FB" w:rsidRDefault="00E9081E" w:rsidP="00E9081E">
      <w:pPr>
        <w:pStyle w:val="ListParagraph"/>
        <w:spacing w:after="0"/>
      </w:pPr>
    </w:p>
    <w:p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:rsidR="00D348C7" w:rsidRDefault="00D348C7" w:rsidP="00D348C7">
      <w:pPr>
        <w:pStyle w:val="ListParagraph"/>
        <w:spacing w:after="0"/>
      </w:pPr>
    </w:p>
    <w:p w:rsidR="009D1348" w:rsidRDefault="00440AA5" w:rsidP="00D348C7">
      <w:pPr>
        <w:pStyle w:val="ListParagraph"/>
        <w:spacing w:after="0"/>
        <w:jc w:val="both"/>
        <w:rPr>
          <w:i/>
          <w:color w:val="0070C0"/>
        </w:rPr>
      </w:pPr>
      <w:r w:rsidRPr="00D348C7">
        <w:rPr>
          <w:i/>
          <w:color w:val="0070C0"/>
        </w:rPr>
        <w:t xml:space="preserve">Establishes </w:t>
      </w:r>
      <w:r w:rsidR="009D1348">
        <w:rPr>
          <w:i/>
          <w:color w:val="0070C0"/>
        </w:rPr>
        <w:t xml:space="preserve">practical </w:t>
      </w:r>
      <w:r w:rsidRPr="00D348C7">
        <w:rPr>
          <w:i/>
          <w:color w:val="0070C0"/>
        </w:rPr>
        <w:t xml:space="preserve">guidelines </w:t>
      </w:r>
      <w:r w:rsidR="009D1348">
        <w:rPr>
          <w:i/>
          <w:color w:val="0070C0"/>
        </w:rPr>
        <w:t xml:space="preserve">for standardization of edible cannabis product approval, testing, and reporting.  </w:t>
      </w:r>
    </w:p>
    <w:p w:rsidR="001B0ADC" w:rsidRPr="003110FB" w:rsidRDefault="001B0ADC" w:rsidP="001B0ADC">
      <w:pPr>
        <w:spacing w:after="0"/>
      </w:pPr>
    </w:p>
    <w:p w:rsidR="001B0ADC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:rsidR="00A04C61" w:rsidRDefault="00A04C61" w:rsidP="00A04C61">
      <w:pPr>
        <w:spacing w:after="0"/>
      </w:pPr>
    </w:p>
    <w:p w:rsidR="00271F07" w:rsidRPr="00D348C7" w:rsidRDefault="00A04C61" w:rsidP="00A04C61">
      <w:pPr>
        <w:spacing w:after="0"/>
        <w:ind w:left="720"/>
        <w:rPr>
          <w:i/>
          <w:color w:val="0070C0"/>
        </w:rPr>
      </w:pPr>
      <w:r w:rsidRPr="00A04C61">
        <w:rPr>
          <w:i/>
          <w:color w:val="0070C0"/>
        </w:rPr>
        <w:t>No dissent</w:t>
      </w:r>
    </w:p>
    <w:p w:rsidR="00E9081E" w:rsidRPr="003110FB" w:rsidRDefault="00E9081E" w:rsidP="00E9081E">
      <w:pPr>
        <w:spacing w:after="0"/>
      </w:pPr>
    </w:p>
    <w:p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lastRenderedPageBreak/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:rsidR="00E9081E" w:rsidRPr="003110FB" w:rsidRDefault="00E9081E" w:rsidP="00E9081E">
      <w:pPr>
        <w:pStyle w:val="ListParagraph"/>
        <w:spacing w:after="0"/>
      </w:pPr>
    </w:p>
    <w:p w:rsidR="00335DB5" w:rsidRPr="00D348C7" w:rsidRDefault="00A02FBC" w:rsidP="00A23679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Department of T</w:t>
      </w:r>
      <w:r w:rsidR="00962953">
        <w:rPr>
          <w:i/>
          <w:color w:val="0070C0"/>
        </w:rPr>
        <w:t>axation to ada</w:t>
      </w:r>
      <w:r w:rsidR="00335DB5">
        <w:rPr>
          <w:i/>
          <w:color w:val="0070C0"/>
        </w:rPr>
        <w:t xml:space="preserve">pt DPBH </w:t>
      </w:r>
      <w:r>
        <w:rPr>
          <w:i/>
          <w:color w:val="0070C0"/>
        </w:rPr>
        <w:t xml:space="preserve">regulations and </w:t>
      </w:r>
      <w:r w:rsidR="00335DB5">
        <w:rPr>
          <w:i/>
          <w:color w:val="0070C0"/>
        </w:rPr>
        <w:t xml:space="preserve">policy </w:t>
      </w:r>
      <w:r>
        <w:rPr>
          <w:i/>
          <w:color w:val="0070C0"/>
        </w:rPr>
        <w:t>attached.</w:t>
      </w:r>
      <w:r w:rsidR="00335DB5">
        <w:rPr>
          <w:i/>
          <w:color w:val="0070C0"/>
        </w:rPr>
        <w:t xml:space="preserve"> </w:t>
      </w:r>
    </w:p>
    <w:p w:rsidR="00E9081E" w:rsidRPr="003110FB" w:rsidRDefault="00E9081E" w:rsidP="00E9081E">
      <w:pPr>
        <w:pStyle w:val="ListParagraph"/>
        <w:spacing w:after="0"/>
      </w:pPr>
    </w:p>
    <w:p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r w:rsidR="000E57A7" w:rsidRPr="003110FB">
        <w:t>etc.</w:t>
      </w:r>
      <w:r w:rsidRPr="003110FB">
        <w:t>)</w:t>
      </w:r>
      <w:r w:rsidR="00B70E4E" w:rsidRPr="003110FB">
        <w:t>.</w:t>
      </w:r>
    </w:p>
    <w:p w:rsidR="00A34142" w:rsidRPr="003110FB" w:rsidRDefault="00A34142" w:rsidP="00A34142">
      <w:pPr>
        <w:pStyle w:val="ListParagraph"/>
        <w:spacing w:after="0"/>
      </w:pPr>
    </w:p>
    <w:p w:rsidR="009D1348" w:rsidRDefault="00A02FBC" w:rsidP="00A04C61">
      <w:pPr>
        <w:spacing w:after="0"/>
        <w:ind w:left="720"/>
        <w:jc w:val="both"/>
        <w:rPr>
          <w:i/>
          <w:color w:val="0070C0"/>
        </w:rPr>
      </w:pPr>
      <w:r w:rsidRPr="002C5F8E">
        <w:rPr>
          <w:i/>
          <w:color w:val="0070C0"/>
        </w:rPr>
        <w:t xml:space="preserve">The recommendation </w:t>
      </w:r>
      <w:r w:rsidR="009D1348">
        <w:rPr>
          <w:i/>
          <w:color w:val="0070C0"/>
        </w:rPr>
        <w:t xml:space="preserve">will add </w:t>
      </w:r>
      <w:r w:rsidR="000C6361">
        <w:rPr>
          <w:i/>
          <w:color w:val="0070C0"/>
        </w:rPr>
        <w:t xml:space="preserve">some testing </w:t>
      </w:r>
      <w:r w:rsidR="009D1348">
        <w:rPr>
          <w:i/>
          <w:color w:val="0070C0"/>
        </w:rPr>
        <w:t>cost to facilities that manufacturer edible cannabis products. Initial validation testing</w:t>
      </w:r>
      <w:r w:rsidR="000C6361">
        <w:rPr>
          <w:i/>
          <w:color w:val="0070C0"/>
        </w:rPr>
        <w:t xml:space="preserve"> of a process </w:t>
      </w:r>
      <w:r w:rsidR="009D1348">
        <w:rPr>
          <w:i/>
          <w:color w:val="0070C0"/>
        </w:rPr>
        <w:t>will require homogeneity testing within a production run prior to an edible product being approv</w:t>
      </w:r>
      <w:r w:rsidR="000C6361">
        <w:rPr>
          <w:i/>
          <w:color w:val="0070C0"/>
        </w:rPr>
        <w:t>ed</w:t>
      </w:r>
      <w:r w:rsidR="009D1348">
        <w:rPr>
          <w:i/>
          <w:color w:val="0070C0"/>
        </w:rPr>
        <w:t xml:space="preserve"> for sale.</w:t>
      </w:r>
      <w:r w:rsidR="00410AB9">
        <w:rPr>
          <w:i/>
          <w:color w:val="0070C0"/>
        </w:rPr>
        <w:t xml:space="preserve"> This validation testing for homogeneity will be less frequent once or twice per year.</w:t>
      </w:r>
      <w:r w:rsidR="009D1348">
        <w:rPr>
          <w:i/>
          <w:color w:val="0070C0"/>
        </w:rPr>
        <w:t xml:space="preserve"> Following approval, homogeneity testing within a single unit will be required during state-mandated safe</w:t>
      </w:r>
      <w:r w:rsidR="00FF2238">
        <w:rPr>
          <w:i/>
          <w:color w:val="0070C0"/>
        </w:rPr>
        <w:t>ty</w:t>
      </w:r>
      <w:r w:rsidR="000C6361">
        <w:rPr>
          <w:i/>
          <w:color w:val="0070C0"/>
        </w:rPr>
        <w:t xml:space="preserve"> testing</w:t>
      </w:r>
      <w:r w:rsidR="00FF2238">
        <w:rPr>
          <w:i/>
          <w:color w:val="0070C0"/>
        </w:rPr>
        <w:t>. This should not add cost since the unit</w:t>
      </w:r>
      <w:r w:rsidR="000C6361">
        <w:rPr>
          <w:i/>
          <w:color w:val="0070C0"/>
        </w:rPr>
        <w:t>/product</w:t>
      </w:r>
      <w:r w:rsidR="00FF2238">
        <w:rPr>
          <w:i/>
          <w:color w:val="0070C0"/>
        </w:rPr>
        <w:t xml:space="preserve"> is already undergoing potency testing. </w:t>
      </w:r>
    </w:p>
    <w:p w:rsidR="009D1348" w:rsidRDefault="009D1348" w:rsidP="00A04C61">
      <w:pPr>
        <w:spacing w:after="0"/>
        <w:ind w:left="720"/>
        <w:jc w:val="both"/>
        <w:rPr>
          <w:i/>
          <w:color w:val="0070C0"/>
        </w:rPr>
      </w:pPr>
    </w:p>
    <w:p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C7" w:rsidRDefault="008040C7" w:rsidP="00391997">
      <w:pPr>
        <w:spacing w:after="0" w:line="240" w:lineRule="auto"/>
      </w:pPr>
      <w:r>
        <w:separator/>
      </w:r>
    </w:p>
  </w:endnote>
  <w:endnote w:type="continuationSeparator" w:id="0">
    <w:p w:rsidR="008040C7" w:rsidRDefault="008040C7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51" w:rsidRPr="00F43822" w:rsidRDefault="00AF4951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0FCD5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FF2238">
      <w:rPr>
        <w:rFonts w:ascii="Calibri" w:eastAsia="Times New Roman" w:hAnsi="Calibri" w:cs="Times New Roman"/>
        <w:b/>
        <w:i/>
        <w:color w:val="3737A5"/>
        <w:sz w:val="16"/>
        <w:szCs w:val="16"/>
      </w:rPr>
      <w:t>Homogeneity Testing of Edible Cannabis Products</w:t>
    </w:r>
    <w:r w:rsidR="00A34142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12226A">
      <w:rPr>
        <w:rFonts w:ascii="Calibri" w:eastAsia="Times New Roman" w:hAnsi="Calibri" w:cs="Times New Roman"/>
        <w:bCs/>
        <w:i/>
        <w:color w:val="3737A5"/>
        <w:sz w:val="16"/>
        <w:szCs w:val="16"/>
      </w:rPr>
      <w:t>April 14,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2017</w:t>
    </w:r>
  </w:p>
  <w:p w:rsidR="00AF4951" w:rsidRPr="00F43822" w:rsidRDefault="00AF4951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:rsidR="00AF4951" w:rsidRDefault="00AF4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C7" w:rsidRDefault="008040C7" w:rsidP="00391997">
      <w:pPr>
        <w:spacing w:after="0" w:line="240" w:lineRule="auto"/>
      </w:pPr>
      <w:r>
        <w:separator/>
      </w:r>
    </w:p>
  </w:footnote>
  <w:footnote w:type="continuationSeparator" w:id="0">
    <w:p w:rsidR="008040C7" w:rsidRDefault="008040C7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51" w:rsidRPr="00F43822" w:rsidRDefault="00CE739D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Homogeneity Testing of Edible Cannabis Products</w:t>
    </w:r>
    <w:r w:rsidR="0012226A">
      <w:rPr>
        <w:sz w:val="22"/>
        <w:szCs w:val="22"/>
      </w:rPr>
      <w:t xml:space="preserve"> - Recommendation</w:t>
    </w:r>
  </w:p>
  <w:p w:rsidR="00AF4951" w:rsidRDefault="00AF4951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F0ADB"/>
    <w:multiLevelType w:val="hybridMultilevel"/>
    <w:tmpl w:val="0196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51354"/>
    <w:multiLevelType w:val="hybridMultilevel"/>
    <w:tmpl w:val="D812A6EC"/>
    <w:lvl w:ilvl="0" w:tplc="1952C980">
      <w:start w:val="1"/>
      <w:numFmt w:val="decimal"/>
      <w:lvlText w:val="%1."/>
      <w:lvlJc w:val="left"/>
      <w:pPr>
        <w:ind w:left="630" w:hanging="360"/>
      </w:pPr>
      <w:rPr>
        <w:rFonts w:ascii="Microsoft Sans Serif" w:eastAsia="Times New Roman" w:hAnsi="Microsoft Sans Serif" w:cs="Microsoft Sans Serif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EF516AF"/>
    <w:multiLevelType w:val="hybridMultilevel"/>
    <w:tmpl w:val="BBF2DEE0"/>
    <w:lvl w:ilvl="0" w:tplc="34F64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A30EF"/>
    <w:multiLevelType w:val="hybridMultilevel"/>
    <w:tmpl w:val="57A4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5477A"/>
    <w:rsid w:val="00060468"/>
    <w:rsid w:val="00067F46"/>
    <w:rsid w:val="000A1FC7"/>
    <w:rsid w:val="000A61D0"/>
    <w:rsid w:val="000B01A4"/>
    <w:rsid w:val="000C0C7A"/>
    <w:rsid w:val="000C6361"/>
    <w:rsid w:val="000E57A7"/>
    <w:rsid w:val="000E7721"/>
    <w:rsid w:val="00114EF2"/>
    <w:rsid w:val="001153CC"/>
    <w:rsid w:val="0012226A"/>
    <w:rsid w:val="00172AE2"/>
    <w:rsid w:val="001866F9"/>
    <w:rsid w:val="00194B94"/>
    <w:rsid w:val="001B0ADC"/>
    <w:rsid w:val="001B10FF"/>
    <w:rsid w:val="00202E4C"/>
    <w:rsid w:val="0023729A"/>
    <w:rsid w:val="00271F07"/>
    <w:rsid w:val="002B165F"/>
    <w:rsid w:val="002C5F8E"/>
    <w:rsid w:val="0030577C"/>
    <w:rsid w:val="003110FB"/>
    <w:rsid w:val="00335DB5"/>
    <w:rsid w:val="003670E0"/>
    <w:rsid w:val="00391997"/>
    <w:rsid w:val="00393803"/>
    <w:rsid w:val="00401CD9"/>
    <w:rsid w:val="004039AB"/>
    <w:rsid w:val="00410AB9"/>
    <w:rsid w:val="00435662"/>
    <w:rsid w:val="00440AA5"/>
    <w:rsid w:val="00442A3F"/>
    <w:rsid w:val="004548C3"/>
    <w:rsid w:val="00526854"/>
    <w:rsid w:val="005342FA"/>
    <w:rsid w:val="00565923"/>
    <w:rsid w:val="00574431"/>
    <w:rsid w:val="005C2029"/>
    <w:rsid w:val="005E102D"/>
    <w:rsid w:val="00630848"/>
    <w:rsid w:val="00672939"/>
    <w:rsid w:val="006B0A7E"/>
    <w:rsid w:val="006D20CE"/>
    <w:rsid w:val="006D4662"/>
    <w:rsid w:val="006E6165"/>
    <w:rsid w:val="006E7FD0"/>
    <w:rsid w:val="006F4723"/>
    <w:rsid w:val="00700DCA"/>
    <w:rsid w:val="00753FA6"/>
    <w:rsid w:val="007746E2"/>
    <w:rsid w:val="00774894"/>
    <w:rsid w:val="007765FD"/>
    <w:rsid w:val="007A4A8C"/>
    <w:rsid w:val="007E1AB2"/>
    <w:rsid w:val="007E65FD"/>
    <w:rsid w:val="008040C7"/>
    <w:rsid w:val="008313F9"/>
    <w:rsid w:val="00882EE9"/>
    <w:rsid w:val="008D5094"/>
    <w:rsid w:val="008F0634"/>
    <w:rsid w:val="009129C6"/>
    <w:rsid w:val="009201F4"/>
    <w:rsid w:val="009264B2"/>
    <w:rsid w:val="00957E83"/>
    <w:rsid w:val="00961D8A"/>
    <w:rsid w:val="00962953"/>
    <w:rsid w:val="009805E6"/>
    <w:rsid w:val="009871F1"/>
    <w:rsid w:val="00993B0D"/>
    <w:rsid w:val="00996A51"/>
    <w:rsid w:val="009D1348"/>
    <w:rsid w:val="009D1938"/>
    <w:rsid w:val="00A02FBC"/>
    <w:rsid w:val="00A04C61"/>
    <w:rsid w:val="00A23679"/>
    <w:rsid w:val="00A312E6"/>
    <w:rsid w:val="00A34142"/>
    <w:rsid w:val="00A47E69"/>
    <w:rsid w:val="00A52BE0"/>
    <w:rsid w:val="00A65F31"/>
    <w:rsid w:val="00A65F54"/>
    <w:rsid w:val="00AB71F7"/>
    <w:rsid w:val="00AF4951"/>
    <w:rsid w:val="00B11C15"/>
    <w:rsid w:val="00B5637D"/>
    <w:rsid w:val="00B70E4E"/>
    <w:rsid w:val="00B87159"/>
    <w:rsid w:val="00B95A2A"/>
    <w:rsid w:val="00BC0B03"/>
    <w:rsid w:val="00BC0F10"/>
    <w:rsid w:val="00BD7523"/>
    <w:rsid w:val="00BE6DD3"/>
    <w:rsid w:val="00BF6BBC"/>
    <w:rsid w:val="00C05D14"/>
    <w:rsid w:val="00C22826"/>
    <w:rsid w:val="00C417FF"/>
    <w:rsid w:val="00C72231"/>
    <w:rsid w:val="00C87322"/>
    <w:rsid w:val="00CB3F28"/>
    <w:rsid w:val="00CC30A8"/>
    <w:rsid w:val="00CE739D"/>
    <w:rsid w:val="00D22E65"/>
    <w:rsid w:val="00D348C7"/>
    <w:rsid w:val="00D46092"/>
    <w:rsid w:val="00D7500C"/>
    <w:rsid w:val="00D926ED"/>
    <w:rsid w:val="00DA287B"/>
    <w:rsid w:val="00DC4C91"/>
    <w:rsid w:val="00DD1A10"/>
    <w:rsid w:val="00DD7372"/>
    <w:rsid w:val="00DE0ABD"/>
    <w:rsid w:val="00E50E8D"/>
    <w:rsid w:val="00E8582F"/>
    <w:rsid w:val="00E9081E"/>
    <w:rsid w:val="00E96CEA"/>
    <w:rsid w:val="00EC03A5"/>
    <w:rsid w:val="00F046BC"/>
    <w:rsid w:val="00F27CF2"/>
    <w:rsid w:val="00F43822"/>
    <w:rsid w:val="00F60A58"/>
    <w:rsid w:val="00F942FA"/>
    <w:rsid w:val="00FC1FA5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sectbody">
    <w:name w:val="sectbody"/>
    <w:basedOn w:val="Normal"/>
    <w:rsid w:val="000E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0E7721"/>
  </w:style>
  <w:style w:type="character" w:customStyle="1" w:styleId="section">
    <w:name w:val="section"/>
    <w:basedOn w:val="DefaultParagraphFont"/>
    <w:rsid w:val="000E7721"/>
  </w:style>
  <w:style w:type="character" w:customStyle="1" w:styleId="leadline">
    <w:name w:val="leadline"/>
    <w:basedOn w:val="DefaultParagraphFont"/>
    <w:rsid w:val="000E7721"/>
  </w:style>
  <w:style w:type="character" w:customStyle="1" w:styleId="apple-converted-space">
    <w:name w:val="apple-converted-space"/>
    <w:basedOn w:val="DefaultParagraphFont"/>
    <w:rsid w:val="000E7721"/>
  </w:style>
  <w:style w:type="paragraph" w:customStyle="1" w:styleId="sourcenote">
    <w:name w:val="sourcenote"/>
    <w:basedOn w:val="Normal"/>
    <w:rsid w:val="000E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cbody">
    <w:name w:val="nacbody"/>
    <w:basedOn w:val="Normal"/>
    <w:rsid w:val="0040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csection">
    <w:name w:val="nacsection"/>
    <w:basedOn w:val="DefaultParagraphFont"/>
    <w:rsid w:val="00401CD9"/>
  </w:style>
  <w:style w:type="character" w:customStyle="1" w:styleId="naclead">
    <w:name w:val="naclead"/>
    <w:basedOn w:val="DefaultParagraphFont"/>
    <w:rsid w:val="00401CD9"/>
  </w:style>
  <w:style w:type="character" w:customStyle="1" w:styleId="nrsauthority">
    <w:name w:val="nrsauthority"/>
    <w:basedOn w:val="DefaultParagraphFont"/>
    <w:rsid w:val="00401CD9"/>
  </w:style>
  <w:style w:type="table" w:styleId="TableGrid">
    <w:name w:val="Table Grid"/>
    <w:basedOn w:val="TableNormal"/>
    <w:uiPriority w:val="39"/>
    <w:rsid w:val="00CE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sectbody">
    <w:name w:val="sectbody"/>
    <w:basedOn w:val="Normal"/>
    <w:rsid w:val="000E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0E7721"/>
  </w:style>
  <w:style w:type="character" w:customStyle="1" w:styleId="section">
    <w:name w:val="section"/>
    <w:basedOn w:val="DefaultParagraphFont"/>
    <w:rsid w:val="000E7721"/>
  </w:style>
  <w:style w:type="character" w:customStyle="1" w:styleId="leadline">
    <w:name w:val="leadline"/>
    <w:basedOn w:val="DefaultParagraphFont"/>
    <w:rsid w:val="000E7721"/>
  </w:style>
  <w:style w:type="character" w:customStyle="1" w:styleId="apple-converted-space">
    <w:name w:val="apple-converted-space"/>
    <w:basedOn w:val="DefaultParagraphFont"/>
    <w:rsid w:val="000E7721"/>
  </w:style>
  <w:style w:type="paragraph" w:customStyle="1" w:styleId="sourcenote">
    <w:name w:val="sourcenote"/>
    <w:basedOn w:val="Normal"/>
    <w:rsid w:val="000E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cbody">
    <w:name w:val="nacbody"/>
    <w:basedOn w:val="Normal"/>
    <w:rsid w:val="0040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csection">
    <w:name w:val="nacsection"/>
    <w:basedOn w:val="DefaultParagraphFont"/>
    <w:rsid w:val="00401CD9"/>
  </w:style>
  <w:style w:type="character" w:customStyle="1" w:styleId="naclead">
    <w:name w:val="naclead"/>
    <w:basedOn w:val="DefaultParagraphFont"/>
    <w:rsid w:val="00401CD9"/>
  </w:style>
  <w:style w:type="character" w:customStyle="1" w:styleId="nrsauthority">
    <w:name w:val="nrsauthority"/>
    <w:basedOn w:val="DefaultParagraphFont"/>
    <w:rsid w:val="00401CD9"/>
  </w:style>
  <w:style w:type="table" w:styleId="TableGrid">
    <w:name w:val="Table Grid"/>
    <w:basedOn w:val="TableNormal"/>
    <w:uiPriority w:val="39"/>
    <w:rsid w:val="00CE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AA19-0737-4FFE-B940-5B8DD868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2</cp:revision>
  <cp:lastPrinted>2017-03-24T15:45:00Z</cp:lastPrinted>
  <dcterms:created xsi:type="dcterms:W3CDTF">2017-04-11T20:47:00Z</dcterms:created>
  <dcterms:modified xsi:type="dcterms:W3CDTF">2017-04-11T20:47:00Z</dcterms:modified>
</cp:coreProperties>
</file>